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考研专业课学习规划</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不同于公共课，考研专业课是区别性很强的考试科目，不同院校专业要求不同，同一个专业，不同院校考试科目可能不同；即使考试科目相同，指定参考书目也可能存在差异；即便同样的考试科目、同样的参考用书，试题难度也可能不同。那么怎样才能取得良好的专业课成绩呢？</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专业课复习要着重利用好两大武器：“参考书目+真题”。</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1. 参考书阅读方法</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（1）目录法：先通过读各本参考书的目录，对于知识体系有着步步了解，了解书的内在逻辑结构，然后再深入研究书的内容。</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（2）体系法：为自己所学的知识建立起框架，否则知识内容混乱，容易遗忘，最好能够闭上眼睛的时候，眼前出现完整的知识体系。</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（3）问题法：将自己所学的知识总结成问题写出来，每章的主标题和副标题都是很好的出题素材，尽可能的把所有的知识要点都能够整理出一个问题。</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 要学会做笔记</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（1）通过目录法、体系法构建出框架后，在仔细看书的时候应该做笔记，笔记在刚开始的时候可能会影响看书速度，当时随着时间的发展，会发现笔记对于整理思路和理解课本内容都有好处。</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（2）做笔记的方法不是简单的把书上的内容抄到笔记本上，而是把书上的内容整理成为一个个小问题，按照题型来进行整理归纳总结。</w:t>
      </w:r>
    </w:p>
    <w:p>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 真题使用方法</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认真分析历年真题，做好总结，对于考生明确方向、确定复习范围和重点、做好应试准备具有十分重要的作用分析试题主要应当了解以下几个方面：命题的风格（如难易程度，是</w:t>
      </w:r>
      <w:bookmarkStart w:id="0" w:name="_GoBack"/>
      <w:bookmarkEnd w:id="0"/>
      <w:r>
        <w:rPr>
          <w:rFonts w:hint="eastAsia" w:ascii="宋体" w:hAnsi="宋体" w:eastAsia="宋体" w:cs="宋体"/>
          <w:color w:val="000000"/>
          <w:kern w:val="0"/>
          <w:sz w:val="21"/>
          <w:szCs w:val="21"/>
          <w:lang w:val="en-US" w:eastAsia="zh-CN" w:bidi="ar"/>
        </w:rPr>
        <w:t>注重基础知识、应用能力还是发挥能力，是否存在偏、难、怪现象等）、题型、题量、考试范围、分值分布、考试重点、考察的侧重点等。</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考生可以根据这些特点，有针对性复习和准备，并进行一些有针对性的练习，这样既可以检查自己的复习效果。发现自己的不足之处，以待改进，又可以巩固所学的知识，使之条理化、系统化。</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1"/>
        </w:numPr>
        <w:suppressLineNumbers w:val="0"/>
        <w:spacing w:line="360" w:lineRule="auto"/>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考研专业课学习规划</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2804"/>
        <w:gridCol w:w="2069"/>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tcPr>
          <w:p>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1"/>
                <w:szCs w:val="21"/>
                <w:vertAlign w:val="baseline"/>
                <w:lang w:val="en-US" w:eastAsia="zh-CN" w:bidi="ar"/>
              </w:rPr>
            </w:pPr>
          </w:p>
        </w:tc>
        <w:tc>
          <w:tcPr>
            <w:tcW w:w="1645" w:type="pct"/>
          </w:tcPr>
          <w:p>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1214" w:type="pct"/>
          </w:tcPr>
          <w:p>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1280" w:type="pct"/>
          </w:tcPr>
          <w:p>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确定报考院校、专业阶段</w:t>
            </w:r>
          </w:p>
        </w:tc>
        <w:tc>
          <w:tcPr>
            <w:tcW w:w="1645"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1.结合自己的兴趣、学科基础、就业意向确定报考专业</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2.浏览目标专业的相关书籍，对目标专业知识体系有大体的了解，然根据自身情况确定目标院校</w:t>
            </w:r>
          </w:p>
        </w:tc>
        <w:tc>
          <w:tcPr>
            <w:tcW w:w="1214"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1.结合自身情况，综合考虑兴趣、学科基础、就业意向等因素，并通过了解专业、院校等相关信息，确定报考专业、院校</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2.明确报考目标，了解专业、院校相关信息60-90小时(平均每天保证至少 2-3小</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时学习)</w:t>
            </w:r>
          </w:p>
        </w:tc>
        <w:tc>
          <w:tcPr>
            <w:tcW w:w="1280"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1.专业课浏览一遍即可。主要是为专业课复习基础阶段热身</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2.如为跨专业报考，需尝试学习一段时间，考验自己是否对该学科内容真正感兴趣</w:t>
            </w:r>
          </w:p>
        </w:tc>
      </w:tr>
    </w:tbl>
    <w:p>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基础阶段</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2294"/>
        <w:gridCol w:w="2084"/>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346"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1223"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1650"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tcPr>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基础阶段</w:t>
            </w:r>
          </w:p>
          <w:p>
            <w:pPr>
              <w:keepNext w:val="0"/>
              <w:keepLines w:val="0"/>
              <w:widowControl/>
              <w:suppressLineNumbers w:val="0"/>
              <w:spacing w:line="360" w:lineRule="auto"/>
              <w:jc w:val="center"/>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（3-6月）</w:t>
            </w:r>
          </w:p>
        </w:tc>
        <w:tc>
          <w:tcPr>
            <w:tcW w:w="1346"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1.以专业指定的书为主，兼顾笔记，进行专业课的第一轮复习。看书要以理解为主，不必纠缠于细节，并在不懂的知识点处作标记。</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2.如果没有指定的参考书，可按照专业咨询师推荐的书目复习。</w:t>
            </w:r>
          </w:p>
        </w:tc>
        <w:tc>
          <w:tcPr>
            <w:tcW w:w="1223"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将专业课内容复习完第一遍，达到了解整体内容的效果180-270小时（平均每天保证至少 2-3小时学习）</w:t>
            </w:r>
          </w:p>
        </w:tc>
        <w:tc>
          <w:tcPr>
            <w:tcW w:w="1650"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1.与专业咨询师保持必要的联系，挖掘该专业相关的深层次信息</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2.不要猜题、押重点、抱有侥幸心理，即使是自认为不考的知识点也必须看到</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3.跨专业、跨院校学生如果不按其完成任务，应当适当增加时间</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4.要适当提高学习效率</w:t>
            </w: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强化、提高阶段</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92"/>
        <w:gridCol w:w="2161"/>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5"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697"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1268"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1518"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restart"/>
          </w:tcPr>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强化</w:t>
            </w:r>
          </w:p>
          <w:p>
            <w:pPr>
              <w:keepNext w:val="0"/>
              <w:keepLines w:val="0"/>
              <w:widowControl/>
              <w:suppressLineNumbers w:val="0"/>
              <w:spacing w:line="360" w:lineRule="auto"/>
              <w:jc w:val="center"/>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提高阶段</w:t>
            </w:r>
          </w:p>
        </w:tc>
        <w:tc>
          <w:tcPr>
            <w:tcW w:w="1697"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7月-8月底：</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进行专业课第二轮复习，以新大纲指定参考书和笔记为主，着重复习和解决第一遍留下的疑问，同时这一遍应开始参考历年真题进行分析，以把握复习重点和复习方法。此外，这一轮复习时要做笔记，将主要内容归纳总结出一份比较简洁的提纲，达到强化记忆、深刻理解。的目的，也便于下一轮复习</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2.根据科目的性质，每个单元或章节配套做相应的试题，检测看书的效果</w:t>
            </w:r>
          </w:p>
        </w:tc>
        <w:tc>
          <w:tcPr>
            <w:tcW w:w="1268"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1.专业课内容复习完第二遍，达到掌握整体内容、重点攻破难点。重点内容</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2.全面回顾课程内容，进行思路整理，自我整理内容，做总结，建立知识体系框架180-240小时（平均每天保证在至少3-4小时）</w:t>
            </w:r>
          </w:p>
        </w:tc>
        <w:tc>
          <w:tcPr>
            <w:tcW w:w="1518"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1.此时必须关注最新的专业课考试大纲，留意考试科目和参考书目是否友编后话，如有变化及时作出调整</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2.感觉较难的科目应多安排一些，特别是本科没学过的这些课程的同学需要多花一些学习时间</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3.此阶段为假期，可以有整块时间复习，要总分利用此段时间，此阶段也是专业课复习的比较关键的阶段，所以要合理利用此段时间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pct"/>
            <w:vMerge w:val="continue"/>
          </w:tcPr>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tc>
        <w:tc>
          <w:tcPr>
            <w:tcW w:w="1697"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9月初-10月底：</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1.进行专业课的第三轮复习，这一轮要注重结合上一轮的笔记和刚要内容有重点的，系统的理解和记忆，根据专业课要求大体的深度和广度，可以找一些专业方面的期刊杂志作为辅助学习资料</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2.再次分析历年真题，并根据专业情况做练习题</w:t>
            </w:r>
          </w:p>
        </w:tc>
        <w:tc>
          <w:tcPr>
            <w:tcW w:w="1268"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1.完成关键性第三遍的复习，种种复习重点，难点</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2.针对重点难点问题进行重点理解和记忆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3.透彻研究考研真题20-180 小时（平均每天保证至少 2-3小时）</w:t>
            </w:r>
          </w:p>
        </w:tc>
        <w:tc>
          <w:tcPr>
            <w:tcW w:w="1518"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保持与专业咨询师的密切联系，此阶段因为对专业课的内容已经比较熟悉，所以再请教专业咨询师可以对他说提供的信息理解的更加透彻。</w:t>
            </w:r>
          </w:p>
        </w:tc>
      </w:tr>
    </w:tbl>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冲刺模考阶段</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2354"/>
        <w:gridCol w:w="2100"/>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381"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学习内容</w:t>
            </w:r>
          </w:p>
        </w:tc>
        <w:tc>
          <w:tcPr>
            <w:tcW w:w="1232"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预期目标&amp;时间分配</w:t>
            </w:r>
          </w:p>
        </w:tc>
        <w:tc>
          <w:tcPr>
            <w:tcW w:w="1606" w:type="pct"/>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学习提示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restart"/>
          </w:tcPr>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b/>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冲刺模考阶段</w:t>
            </w:r>
          </w:p>
        </w:tc>
        <w:tc>
          <w:tcPr>
            <w:tcW w:w="1381"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11月初-12月底：</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1.进行专业课第三轮复习，以兄弟院校的历年真题为模拟题，严格按照考研时间模拟考试，对题目进行归纳总结，提高答题技巧和熟练程度。</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2.对考研重点章节和复习薄弱环节进行加强，查漏补缺。</w:t>
            </w:r>
          </w:p>
        </w:tc>
        <w:tc>
          <w:tcPr>
            <w:tcW w:w="1232"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1.专业课内容复习完第三遍，达到掌握整体内容、重点攻破难点。</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2.全真模拟题目能轻松做到 120以上。</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180-240 小时（平均每天保证在至少3-4小时）</w:t>
            </w:r>
          </w:p>
        </w:tc>
        <w:tc>
          <w:tcPr>
            <w:tcW w:w="1606"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1.此时必须关注最新的专业课考试大纲，留意考试科目和参考书目是否友编后话，如有变化及时作出调整</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2.感觉较难的科目应多安排一些，特别是本科没学过的这些课程的同学需要多花一些学习时间</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3.此阶段为假期，可以有整块时间复习，要总分利用此段时间，此阶段也是专业课复习的比较关键的阶段，所以要合理</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利用此段时间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pct"/>
            <w:vMerge w:val="continue"/>
          </w:tcPr>
          <w:p>
            <w:pPr>
              <w:keepNext w:val="0"/>
              <w:keepLines w:val="0"/>
              <w:widowControl/>
              <w:suppressLineNumbers w:val="0"/>
              <w:spacing w:line="360" w:lineRule="auto"/>
              <w:jc w:val="left"/>
              <w:rPr>
                <w:rFonts w:hint="eastAsia" w:ascii="宋体" w:hAnsi="宋体" w:eastAsia="宋体" w:cs="宋体"/>
                <w:b/>
                <w:color w:val="000000"/>
                <w:kern w:val="0"/>
                <w:sz w:val="21"/>
                <w:szCs w:val="21"/>
                <w:vertAlign w:val="baseline"/>
                <w:lang w:val="en-US" w:eastAsia="zh-CN" w:bidi="ar"/>
              </w:rPr>
            </w:pPr>
          </w:p>
        </w:tc>
        <w:tc>
          <w:tcPr>
            <w:tcW w:w="1381"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考前：</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1.进行专业课考前学习，回归课本，查看真题笔记，科学分析，大胆预测考试的重点章节，重要题型和答题方法。</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2.考前一周要做两套专业课模拟题，保持做题的手感，注意时间的把握。</w:t>
            </w:r>
          </w:p>
        </w:tc>
        <w:tc>
          <w:tcPr>
            <w:tcW w:w="1232"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1.对重点难点了如指掌，重点提醒铭记于心。</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2.轻松完成模拟考卷，信心十足。</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20-30 小时（平均每天保证至少3-4小时）</w:t>
            </w:r>
          </w:p>
        </w:tc>
        <w:tc>
          <w:tcPr>
            <w:tcW w:w="1606" w:type="pct"/>
          </w:tcPr>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保持与专业咨询师的密切联系，此阶段因为对专业课的内容已经比较熟悉，所以再请教专业咨询师可以对他说提供的信息理解的更加透彻。</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5210175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0.25pt;margin-top:0pt;height:144pt;width:144pt;mso-position-horizontal-relative:margin;mso-wrap-style:none;z-index:251660288;mso-width-relative:page;mso-height-relative:page;" filled="f" stroked="f" coordsize="21600,21600" o:gfxdata="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JOlPjUAAAACQEAAA8AAAAAAAAAAQAgAAAAIgAAAGRycy9kb3ducmV2LnhtbFBL&#10;AQIUABQAAAAIAIdO4kBhrYRyMwIAAGMEAAAOAAAAAAAAAAEAIAAAACM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rPr>
        <w:rFonts w:hint="eastAsia"/>
      </w:rPr>
    </w:pPr>
    <w:r>
      <w:rPr>
        <w:rFonts w:hint="eastAsia"/>
      </w:rPr>
      <w:t xml:space="preserve">总部地址：石家庄长安区中山东路479号裕祥商务楼研圣考研 </w:t>
    </w:r>
    <w:r>
      <w:rPr>
        <w:rFonts w:hint="eastAsia"/>
        <w:lang w:val="en-US" w:eastAsia="zh-CN"/>
      </w:rPr>
      <w:t xml:space="preserve">   联系</w:t>
    </w:r>
    <w:r>
      <w:rPr>
        <w:rFonts w:hint="eastAsia"/>
      </w:rPr>
      <w:t>电话：17367738079</w:t>
    </w:r>
  </w:p>
  <w:p>
    <w:pPr>
      <w:pStyle w:val="2"/>
    </w:pPr>
    <w:r>
      <w:rPr>
        <w:rFonts w:hint="eastAsia"/>
        <w:lang w:val="en-US" w:eastAsia="zh-CN"/>
      </w:rPr>
      <w:t>官网：</w:t>
    </w:r>
    <w:r>
      <w:rPr>
        <w:rFonts w:hint="eastAsia"/>
        <w:color w:val="auto"/>
        <w:u w:val="none"/>
        <w:lang w:val="en-US" w:eastAsia="zh-CN"/>
      </w:rPr>
      <w:t>www.yanshengkaoyan.com</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lang w:val="en-US"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905625" cy="3809365"/>
          <wp:effectExtent l="0" t="0" r="0" b="0"/>
          <wp:wrapNone/>
          <wp:docPr id="13" name="WordPictureWatermark48698" descr="微信图片_2022070418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48698" descr="微信图片_20220704181359"/>
                  <pic:cNvPicPr>
                    <a:picLocks noChangeAspect="1"/>
                  </pic:cNvPicPr>
                </pic:nvPicPr>
                <pic:blipFill>
                  <a:blip r:embed="rId1">
                    <a:lum bright="69998" contrast="-70001"/>
                  </a:blip>
                  <a:stretch>
                    <a:fillRect/>
                  </a:stretch>
                </pic:blipFill>
                <pic:spPr>
                  <a:xfrm rot="-2700000">
                    <a:off x="0" y="0"/>
                    <a:ext cx="6905625" cy="3809365"/>
                  </a:xfrm>
                  <a:prstGeom prst="rect">
                    <a:avLst/>
                  </a:prstGeom>
                  <a:noFill/>
                  <a:ln>
                    <a:noFill/>
                  </a:ln>
                </pic:spPr>
              </pic:pic>
            </a:graphicData>
          </a:graphic>
        </wp:anchor>
      </w:drawing>
    </w:r>
    <w:r>
      <w:rPr>
        <w:rFonts w:hint="eastAsia" w:eastAsiaTheme="minorEastAsia"/>
        <w:lang w:eastAsia="zh-CN"/>
      </w:rPr>
      <w:drawing>
        <wp:inline distT="0" distB="0" distL="114300" distR="114300">
          <wp:extent cx="1204595" cy="330835"/>
          <wp:effectExtent l="0" t="0" r="14605" b="12065"/>
          <wp:docPr id="14" name="图片 14" descr="白色描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白色描边"/>
                  <pic:cNvPicPr>
                    <a:picLocks noChangeAspect="1"/>
                  </pic:cNvPicPr>
                </pic:nvPicPr>
                <pic:blipFill>
                  <a:blip r:embed="rId2"/>
                  <a:stretch>
                    <a:fillRect/>
                  </a:stretch>
                </pic:blipFill>
                <pic:spPr>
                  <a:xfrm>
                    <a:off x="0" y="0"/>
                    <a:ext cx="1204595" cy="330835"/>
                  </a:xfrm>
                  <a:prstGeom prst="rect">
                    <a:avLst/>
                  </a:prstGeom>
                </pic:spPr>
              </pic:pic>
            </a:graphicData>
          </a:graphic>
        </wp:inline>
      </w:drawing>
    </w:r>
    <w:r>
      <w:rPr>
        <w:rFonts w:hint="eastAsia"/>
        <w:lang w:val="en-US" w:eastAsia="zh-CN"/>
      </w:rPr>
      <w:t xml:space="preserve">                                             </w:t>
    </w:r>
    <w:r>
      <w:rPr>
        <w:rFonts w:hint="eastAsia"/>
        <w:sz w:val="21"/>
        <w:szCs w:val="21"/>
        <w:lang w:val="en-US" w:eastAsia="zh-CN"/>
      </w:rPr>
      <w:t xml:space="preserve"> 研圣让考研变得更简单</w:t>
    </w: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D8247"/>
    <w:multiLevelType w:val="singleLevel"/>
    <w:tmpl w:val="B36D824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733942F1"/>
    <w:rsid w:val="3B695E7B"/>
    <w:rsid w:val="40C333C5"/>
    <w:rsid w:val="733942F1"/>
    <w:rsid w:val="7814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2440</Words>
  <Characters>2531</Characters>
  <Lines>0</Lines>
  <Paragraphs>0</Paragraphs>
  <TotalTime>0</TotalTime>
  <ScaleCrop>false</ScaleCrop>
  <LinksUpToDate>false</LinksUpToDate>
  <CharactersWithSpaces>2541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2022-07-14T08:41:00Z</dcterms:created>
  <dc:creator>ASUS</dc:creator>
  <cp:lastModifiedBy>ASUS</cp:lastModifiedBy>
  <dcterms:modified xsi:type="dcterms:W3CDTF">2022-07-14T08:45:36Z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CA52292B65A549B091DA845D4DFA37FC</vt:lpwstr>
  </property>
</Properties>
</file>